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23B" w:rsidRDefault="001212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8"/>
        <w:tblW w:w="10071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4556"/>
        <w:gridCol w:w="150"/>
        <w:gridCol w:w="700"/>
        <w:gridCol w:w="150"/>
        <w:gridCol w:w="4394"/>
        <w:gridCol w:w="121"/>
      </w:tblGrid>
      <w:tr w:rsidR="0012123B">
        <w:trPr>
          <w:jc w:val="center"/>
        </w:trPr>
        <w:tc>
          <w:tcPr>
            <w:tcW w:w="4706" w:type="dxa"/>
            <w:gridSpan w:val="2"/>
            <w:shd w:val="clear" w:color="auto" w:fill="auto"/>
          </w:tcPr>
          <w:p w:rsidR="0012123B" w:rsidRDefault="0012123B">
            <w:pPr>
              <w:shd w:val="clear" w:color="auto" w:fill="FFFFFF"/>
              <w:ind w:left="114" w:firstLine="397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2123B" w:rsidRDefault="0012123B">
            <w:pPr>
              <w:shd w:val="clear" w:color="auto" w:fill="FFFFFF"/>
              <w:ind w:right="143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12123B" w:rsidRDefault="00DC0423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УТВЕРЖДАЮ:</w:t>
            </w:r>
          </w:p>
          <w:p w:rsidR="0012123B" w:rsidRDefault="00DC0423">
            <w:pPr>
              <w:shd w:val="clear" w:color="auto" w:fill="FFFFFF"/>
              <w:ind w:left="114" w:firstLine="397"/>
            </w:pPr>
            <w:r>
              <w:rPr>
                <w:sz w:val="24"/>
                <w:szCs w:val="24"/>
              </w:rPr>
              <w:t xml:space="preserve">Руководитель дирекции технической эксплуатации АО «Сочи-Парк» </w:t>
            </w:r>
          </w:p>
          <w:p w:rsidR="0012123B" w:rsidRDefault="0012123B">
            <w:pPr>
              <w:shd w:val="clear" w:color="auto" w:fill="FFFFFF"/>
              <w:ind w:left="114" w:firstLine="397"/>
              <w:rPr>
                <w:sz w:val="24"/>
                <w:szCs w:val="24"/>
              </w:rPr>
            </w:pPr>
          </w:p>
          <w:p w:rsidR="0012123B" w:rsidRDefault="00DC0423">
            <w:pPr>
              <w:shd w:val="clear" w:color="auto" w:fill="FFFFFF"/>
              <w:ind w:left="114" w:firstLine="3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 Р.С. Степанов </w:t>
            </w:r>
          </w:p>
          <w:p w:rsidR="0012123B" w:rsidRDefault="00DC0423">
            <w:pPr>
              <w:shd w:val="clear" w:color="auto" w:fill="FFFFFF"/>
            </w:pPr>
            <w:r>
              <w:rPr>
                <w:sz w:val="24"/>
                <w:szCs w:val="24"/>
              </w:rPr>
              <w:t xml:space="preserve"> «__</w:t>
            </w:r>
            <w:proofErr w:type="gramStart"/>
            <w:r>
              <w:rPr>
                <w:sz w:val="24"/>
                <w:szCs w:val="24"/>
              </w:rPr>
              <w:t>_»_</w:t>
            </w:r>
            <w:proofErr w:type="gramEnd"/>
            <w:r>
              <w:rPr>
                <w:sz w:val="24"/>
                <w:szCs w:val="24"/>
              </w:rPr>
              <w:t>_________202</w:t>
            </w:r>
            <w:r w:rsidR="004631D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  <w:p w:rsidR="0012123B" w:rsidRDefault="0012123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1" w:type="dxa"/>
            <w:shd w:val="clear" w:color="auto" w:fill="auto"/>
            <w:tcMar>
              <w:left w:w="0" w:type="dxa"/>
              <w:right w:w="0" w:type="dxa"/>
            </w:tcMar>
          </w:tcPr>
          <w:p w:rsidR="0012123B" w:rsidRDefault="0012123B">
            <w:pPr>
              <w:rPr>
                <w:sz w:val="24"/>
                <w:szCs w:val="24"/>
              </w:rPr>
            </w:pPr>
          </w:p>
        </w:tc>
      </w:tr>
      <w:tr w:rsidR="0012123B">
        <w:trPr>
          <w:jc w:val="center"/>
        </w:trPr>
        <w:tc>
          <w:tcPr>
            <w:tcW w:w="4556" w:type="dxa"/>
            <w:shd w:val="clear" w:color="auto" w:fill="auto"/>
          </w:tcPr>
          <w:p w:rsidR="0012123B" w:rsidRDefault="0012123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2123B" w:rsidRDefault="0012123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665" w:type="dxa"/>
            <w:gridSpan w:val="3"/>
            <w:shd w:val="clear" w:color="auto" w:fill="auto"/>
          </w:tcPr>
          <w:p w:rsidR="0012123B" w:rsidRDefault="0012123B">
            <w:pPr>
              <w:shd w:val="clear" w:color="auto" w:fill="FFFFFF"/>
              <w:ind w:left="0" w:firstLine="0"/>
              <w:rPr>
                <w:sz w:val="24"/>
                <w:szCs w:val="24"/>
              </w:rPr>
            </w:pPr>
          </w:p>
        </w:tc>
      </w:tr>
    </w:tbl>
    <w:p w:rsidR="0012123B" w:rsidRDefault="00DC0423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 </w:t>
      </w:r>
    </w:p>
    <w:p w:rsidR="0012123B" w:rsidRDefault="00DC042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сборку и монтаж каркаса новогодней искусственной ели и подиума для ели для оформления мероприятий «День рождения Бабы Яги» и «Новый Год 202</w:t>
      </w:r>
      <w:r w:rsidR="004631DE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».</w:t>
      </w:r>
    </w:p>
    <w:tbl>
      <w:tblPr>
        <w:tblStyle w:val="af9"/>
        <w:tblW w:w="10335" w:type="dxa"/>
        <w:tblInd w:w="-33" w:type="dxa"/>
        <w:tblLayout w:type="fixed"/>
        <w:tblLook w:val="0400" w:firstRow="0" w:lastRow="0" w:firstColumn="0" w:lastColumn="0" w:noHBand="0" w:noVBand="1"/>
      </w:tblPr>
      <w:tblGrid>
        <w:gridCol w:w="825"/>
        <w:gridCol w:w="2385"/>
        <w:gridCol w:w="7125"/>
      </w:tblGrid>
      <w:tr w:rsidR="0012123B">
        <w:trPr>
          <w:trHeight w:val="2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lef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lef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23B" w:rsidRDefault="00DC0423">
            <w:pPr>
              <w:ind w:firstLine="0"/>
              <w:jc w:val="both"/>
            </w:pPr>
            <w:r>
              <w:rPr>
                <w:b/>
                <w:i/>
                <w:sz w:val="24"/>
                <w:szCs w:val="24"/>
              </w:rPr>
              <w:t xml:space="preserve">Каркас и подиум новогодней искусственной ели. </w:t>
            </w:r>
          </w:p>
        </w:tc>
      </w:tr>
      <w:tr w:rsidR="0012123B">
        <w:trPr>
          <w:trHeight w:val="2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lef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left="57" w:right="265" w:firstLine="0"/>
            </w:pPr>
            <w:r>
              <w:rPr>
                <w:sz w:val="24"/>
                <w:szCs w:val="24"/>
              </w:rPr>
              <w:t>Предмет технического задания</w:t>
            </w: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23B" w:rsidRDefault="00DC0423">
            <w:pPr>
              <w:ind w:firstLine="0"/>
              <w:jc w:val="both"/>
            </w:pPr>
            <w:r>
              <w:rPr>
                <w:sz w:val="24"/>
                <w:szCs w:val="24"/>
              </w:rPr>
              <w:t xml:space="preserve">Право на заключение договора на выполнение работ по сборке и монтажу каркаса новогодней искусственной ели и подиума для ели в Краю Науки и Фантастики. </w:t>
            </w:r>
          </w:p>
        </w:tc>
      </w:tr>
      <w:tr w:rsidR="0012123B">
        <w:trPr>
          <w:trHeight w:val="2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lef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left="57" w:right="265" w:firstLine="0"/>
            </w:pPr>
            <w:r>
              <w:rPr>
                <w:sz w:val="24"/>
                <w:szCs w:val="24"/>
              </w:rPr>
              <w:t>Географическое положение объекта</w:t>
            </w: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23B" w:rsidRDefault="00DC0423">
            <w:pPr>
              <w:ind w:firstLine="0"/>
            </w:pPr>
            <w:bookmarkStart w:id="0" w:name="_heading=h.gjdgxs" w:colFirst="0" w:colLast="0"/>
            <w:bookmarkEnd w:id="0"/>
            <w:r>
              <w:rPr>
                <w:sz w:val="24"/>
                <w:szCs w:val="24"/>
              </w:rPr>
              <w:t xml:space="preserve">РФ, Краснодарский край, г. Сочи,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 xml:space="preserve"> Сириус, Тематический парк развлечений «Сочи Парк»</w:t>
            </w:r>
          </w:p>
        </w:tc>
      </w:tr>
      <w:tr w:rsidR="0012123B">
        <w:trPr>
          <w:trHeight w:val="2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lef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left="57" w:right="26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Заказчике</w:t>
            </w: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23B" w:rsidRDefault="00DC042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Дирекция технической эксплуатации</w:t>
            </w:r>
          </w:p>
          <w:p w:rsidR="0012123B" w:rsidRDefault="00DC0423">
            <w:pPr>
              <w:ind w:firstLine="0"/>
              <w:jc w:val="both"/>
            </w:pPr>
            <w:r>
              <w:rPr>
                <w:sz w:val="24"/>
                <w:szCs w:val="24"/>
              </w:rPr>
              <w:t>Акционерное общество «Сочи-Парк» (АО «Сочи-Парк»)</w:t>
            </w:r>
          </w:p>
          <w:p w:rsidR="0012123B" w:rsidRDefault="00DC042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Юридический адрес: 354340, Краснодарский край, </w:t>
            </w:r>
            <w:proofErr w:type="spellStart"/>
            <w:r>
              <w:rPr>
                <w:sz w:val="24"/>
                <w:szCs w:val="24"/>
              </w:rPr>
              <w:t>ф.т</w:t>
            </w:r>
            <w:proofErr w:type="spellEnd"/>
            <w:r>
              <w:rPr>
                <w:sz w:val="24"/>
                <w:szCs w:val="24"/>
              </w:rPr>
              <w:t xml:space="preserve">. Сириус,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Сириус, ул. Чемпионов, дом № 3, офис 230.</w:t>
            </w:r>
          </w:p>
          <w:p w:rsidR="0012123B" w:rsidRDefault="00DC0423">
            <w:pPr>
              <w:ind w:firstLine="0"/>
              <w:jc w:val="both"/>
              <w:rPr>
                <w:sz w:val="24"/>
                <w:szCs w:val="24"/>
              </w:rPr>
            </w:pPr>
            <w:bookmarkStart w:id="1" w:name="_heading=h.30j0zll" w:colFirst="0" w:colLast="0"/>
            <w:bookmarkEnd w:id="1"/>
            <w:r>
              <w:rPr>
                <w:sz w:val="24"/>
                <w:szCs w:val="24"/>
              </w:rPr>
              <w:t>Почтовый адрес: 354349, Краснодарский край, г. Сочи, Адлерский район, Почтовое отделение №349, а/я 11</w:t>
            </w:r>
          </w:p>
        </w:tc>
      </w:tr>
      <w:tr w:rsidR="0012123B">
        <w:trPr>
          <w:trHeight w:val="2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lef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left="57" w:right="26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Исходные данные</w:t>
            </w: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23B" w:rsidRDefault="00DC042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№1. Техническое задание</w:t>
            </w:r>
          </w:p>
          <w:p w:rsidR="0012123B" w:rsidRDefault="00DC042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№2. Спецификация</w:t>
            </w:r>
          </w:p>
          <w:p w:rsidR="0012123B" w:rsidRDefault="00DC042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3. Техническая документация (ель 19 м.) </w:t>
            </w:r>
          </w:p>
          <w:p w:rsidR="0012123B" w:rsidRDefault="00DC042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4. Инструкция по сборке каркасной ели 19 м.</w:t>
            </w:r>
          </w:p>
        </w:tc>
      </w:tr>
      <w:tr w:rsidR="0012123B">
        <w:trPr>
          <w:trHeight w:val="2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lef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left="57" w:right="26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23B" w:rsidRDefault="00DC0423">
            <w:pPr>
              <w:ind w:firstLine="0"/>
            </w:pPr>
            <w:r>
              <w:rPr>
                <w:sz w:val="24"/>
                <w:szCs w:val="24"/>
              </w:rPr>
              <w:t>Договор оказания услуг.</w:t>
            </w:r>
          </w:p>
          <w:p w:rsidR="0012123B" w:rsidRDefault="00DC042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задание АО «Сочи-Парк».</w:t>
            </w:r>
          </w:p>
        </w:tc>
      </w:tr>
      <w:tr w:rsidR="0012123B">
        <w:trPr>
          <w:trHeight w:val="2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lef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left="57" w:right="26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организации</w:t>
            </w: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23B" w:rsidRDefault="00DC042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13" w:firstLine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Наличие необходимых профессиональных знаний, опыта и репутации (отзывы, благодарственные письма, грамоты и т. д.)</w:t>
            </w:r>
          </w:p>
          <w:p w:rsidR="0012123B" w:rsidRDefault="00DC042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13" w:firstLine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Наличие ресурсных возможностей (финансовые, материально – технические, производственные, трудовые);</w:t>
            </w:r>
          </w:p>
          <w:p w:rsidR="0012123B" w:rsidRDefault="00DC042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13" w:firstLine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Договора;</w:t>
            </w:r>
          </w:p>
          <w:p w:rsidR="0012123B" w:rsidRDefault="00DC042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13" w:firstLine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Обеспечить способность проведения необходимого комплекса работ в требуемые сроки и с должным качеством;</w:t>
            </w:r>
          </w:p>
          <w:p w:rsidR="0012123B" w:rsidRDefault="00DC042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13" w:firstLine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Организация не должна находиться в процессе ликвидации, банкротства и на ее имущество не должен быть наложен арест.</w:t>
            </w:r>
          </w:p>
          <w:p w:rsidR="0012123B" w:rsidRDefault="00DC042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13" w:firstLine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Наличие опыта выполнения аналогичных работ.</w:t>
            </w:r>
          </w:p>
          <w:p w:rsidR="0012123B" w:rsidRDefault="00DC042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13" w:firstLine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При выполнении работ производить уборку рабочей площадки от своих отходов и их вывоз с объекта.</w:t>
            </w:r>
          </w:p>
          <w:p w:rsidR="0012123B" w:rsidRDefault="00DC042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13" w:firstLine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Выполнить комплекс монтажных работ элементов в соответствии с проектной документацией.</w:t>
            </w:r>
          </w:p>
          <w:p w:rsidR="0012123B" w:rsidRDefault="00DC042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13" w:firstLine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Осуществить установку предупреждающих и информационных щитов с указанием наименования своей организации, юридического адреса и контактных телефонов.</w:t>
            </w:r>
          </w:p>
          <w:p w:rsidR="0012123B" w:rsidRDefault="00DC042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13" w:firstLine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Представить заказчику Приказы о назначении ответственных за безопасное производство работ на Объекте.</w:t>
            </w:r>
          </w:p>
          <w:p w:rsidR="0012123B" w:rsidRDefault="00DC042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13" w:firstLine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 xml:space="preserve">До начала работ Подрядчик обязан предоставить Заказчику список автотранспорта (марка, модель и государственный номер </w:t>
            </w:r>
            <w:r>
              <w:rPr>
                <w:color w:val="212121"/>
                <w:sz w:val="24"/>
                <w:szCs w:val="24"/>
              </w:rPr>
              <w:lastRenderedPageBreak/>
              <w:t>автотранспорта), осуществляющего доставку инструментов Подрядчика на объект, вывоз мусора.</w:t>
            </w:r>
          </w:p>
          <w:p w:rsidR="0012123B" w:rsidRDefault="00DC042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13" w:firstLine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Все работы выполнять исправным инструментом и оборудованием, прошедшим поверку.</w:t>
            </w:r>
          </w:p>
          <w:p w:rsidR="0012123B" w:rsidRDefault="00DC042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13" w:firstLine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В случае возникновения необходимости выполнения отдельных видов и объемов работ, не предусмотренных в данном техническом задании, но которые являются необходимым требованием для получения результата выполненных работ, Подрядчик принимает на себя обязательства по выполнению всех данных требований своими силами и за свой счет.</w:t>
            </w:r>
          </w:p>
          <w:p w:rsidR="0012123B" w:rsidRDefault="00DC042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13" w:firstLine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Сотрудники подрядной организации должны иметь отличительную форменную одежду.</w:t>
            </w:r>
          </w:p>
          <w:p w:rsidR="0012123B" w:rsidRDefault="00DC042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13" w:firstLine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Работы, связанные с наличием шумов при их проведении, монтажные работы с использованием ударного и режущего электроинструмента) производятся вовремя согласованное с Заказчиком (внерабочее время парка).</w:t>
            </w:r>
          </w:p>
          <w:p w:rsidR="0012123B" w:rsidRDefault="00DC042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13" w:firstLine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В недельный срок со дня подписания Акта об окончательной приемке работ по Договору вывезти за его пределы принадлежащую ему дорожную технику и оборудование, транспортные средства, изделия и конструкции, вывезти возведенные им временные здания и сооружения, утилизировать мусор.</w:t>
            </w:r>
          </w:p>
        </w:tc>
      </w:tr>
      <w:tr w:rsidR="0012123B">
        <w:trPr>
          <w:trHeight w:val="2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lef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left="57" w:right="265" w:firstLine="0"/>
            </w:pPr>
            <w:r>
              <w:rPr>
                <w:color w:val="000000"/>
                <w:sz w:val="24"/>
                <w:szCs w:val="24"/>
              </w:rPr>
              <w:t>Основные показатели и виды работ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1DE" w:rsidRDefault="004631DE">
            <w:pPr>
              <w:numPr>
                <w:ilvl w:val="0"/>
                <w:numId w:val="1"/>
              </w:numPr>
              <w:ind w:left="19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работы по обработке все стыков металлической конструкции каркаса и подиума новогодней ели. Смазочный материал предоставляет Заказчик.</w:t>
            </w:r>
          </w:p>
          <w:p w:rsidR="0012123B" w:rsidRDefault="00DC0423">
            <w:pPr>
              <w:numPr>
                <w:ilvl w:val="0"/>
                <w:numId w:val="1"/>
              </w:numPr>
              <w:ind w:left="19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сборку подиума и каркаса новогодней искусственной ели в соответствии с технической документацией.</w:t>
            </w:r>
          </w:p>
          <w:p w:rsidR="0012123B" w:rsidRDefault="00DC042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3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Выполнить комплекс монтажных работ по возведению каркаса и подиума ели в соответствии с проектной документацией. </w:t>
            </w:r>
          </w:p>
          <w:p w:rsidR="0012123B" w:rsidRDefault="00DC0423">
            <w:pPr>
              <w:numPr>
                <w:ilvl w:val="0"/>
                <w:numId w:val="1"/>
              </w:numPr>
              <w:ind w:left="19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завершения работ согласно техническому заданию предоставить на подписание акт выполненных работ.</w:t>
            </w:r>
          </w:p>
          <w:p w:rsidR="0012123B" w:rsidRDefault="00DC042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После завершения всего комплекса работ согласно техническому заданию выполнить вывоз и утилизацию строительного мусора, произвести уборку и передать площадку Заказчику по акту.</w:t>
            </w:r>
          </w:p>
        </w:tc>
      </w:tr>
      <w:tr w:rsidR="0012123B">
        <w:trPr>
          <w:trHeight w:val="2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lef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left="57" w:right="26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23B" w:rsidRDefault="00DC042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Гарантийный срок на выполненные работы, технологию производства работ определяется договором и должен быть не менее 6 месяцев, с момента подписания сторонами Актов приемки выполненных работ.</w:t>
            </w:r>
          </w:p>
          <w:p w:rsidR="0012123B" w:rsidRDefault="00DC0423">
            <w:pPr>
              <w:ind w:firstLine="0"/>
            </w:pPr>
            <w:r>
              <w:rPr>
                <w:sz w:val="24"/>
                <w:szCs w:val="24"/>
              </w:rPr>
              <w:t>Если в период гарантийного срока эксплуатации объекта обнаружатся дефекты, иные недостатки, которые не позволят продолжить нормальную эксплуатацию объекта до их устранения, то гарантийный срок продлевается соответственно на период устранения данных дефектов.</w:t>
            </w:r>
          </w:p>
        </w:tc>
      </w:tr>
      <w:tr w:rsidR="0012123B">
        <w:trPr>
          <w:trHeight w:val="2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lef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left="57" w:right="26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безопасности при проведении работ</w:t>
            </w: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23B" w:rsidRDefault="00DC042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firstLine="0"/>
              <w:rPr>
                <w:color w:val="212121"/>
                <w:sz w:val="23"/>
                <w:szCs w:val="23"/>
              </w:rPr>
            </w:pPr>
            <w:r>
              <w:rPr>
                <w:color w:val="212121"/>
                <w:sz w:val="24"/>
                <w:szCs w:val="24"/>
              </w:rPr>
              <w:t>Соблюдение требований охраны труда, электробезопасности, правил пожарной безопасности, санитарно-гигиенических норм и правил, действующих на территории РФ.</w:t>
            </w:r>
          </w:p>
          <w:p w:rsidR="0012123B" w:rsidRDefault="00DC042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firstLine="0"/>
              <w:rPr>
                <w:color w:val="212121"/>
                <w:sz w:val="23"/>
                <w:szCs w:val="23"/>
              </w:rPr>
            </w:pPr>
            <w:r>
              <w:rPr>
                <w:color w:val="212121"/>
                <w:sz w:val="24"/>
                <w:szCs w:val="24"/>
              </w:rPr>
              <w:t>Работники должны быть снабжены средствами индивидуальной защиты (СИЗ): касками, спецодеждой и обувью, рукавицами, средствами обеспечения страховки (защиты от падения), средствами защиты, соответствующими выполняемому заданию (щитки для защиты глаз и т. п.);</w:t>
            </w:r>
          </w:p>
          <w:p w:rsidR="0012123B" w:rsidRDefault="00DC042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firstLine="0"/>
              <w:rPr>
                <w:color w:val="212121"/>
                <w:sz w:val="23"/>
                <w:szCs w:val="23"/>
              </w:rPr>
            </w:pPr>
            <w:r>
              <w:rPr>
                <w:color w:val="212121"/>
                <w:sz w:val="24"/>
                <w:szCs w:val="24"/>
              </w:rPr>
              <w:t xml:space="preserve">Средства защиты от падения должны иметь документы, подтверждающие их прочностные свойства и условия применения </w:t>
            </w:r>
            <w:r>
              <w:rPr>
                <w:color w:val="212121"/>
                <w:sz w:val="24"/>
                <w:szCs w:val="24"/>
              </w:rPr>
              <w:lastRenderedPageBreak/>
              <w:t>(сертификаты качества, технические паспорта, соответствие стандартам ГОСТ, EN, ISO, акты испытаний и т. п.);</w:t>
            </w:r>
          </w:p>
          <w:p w:rsidR="0012123B" w:rsidRDefault="00DC042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firstLine="0"/>
              <w:rPr>
                <w:color w:val="212121"/>
                <w:sz w:val="23"/>
                <w:szCs w:val="23"/>
              </w:rPr>
            </w:pPr>
            <w:r>
              <w:rPr>
                <w:color w:val="212121"/>
                <w:sz w:val="24"/>
                <w:szCs w:val="24"/>
              </w:rPr>
              <w:t>Используемые страховочные пояса и индивидуальные страховочные системы должны удовлетворять требованиям соответствующих стандартов.</w:t>
            </w:r>
          </w:p>
          <w:p w:rsidR="0012123B" w:rsidRDefault="00DC0423">
            <w:pPr>
              <w:ind w:firstLine="0"/>
              <w:rPr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Неиспользуемое снаряжение и устройства должны подвергаться регулярному контролю, осуществляемому компетентным лицом, о чем должна быть сделана соответствующая запись.</w:t>
            </w:r>
          </w:p>
        </w:tc>
      </w:tr>
      <w:tr w:rsidR="0012123B">
        <w:trPr>
          <w:trHeight w:val="2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left="57" w:right="26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ведения, контроль и приемка работ и оплаты</w:t>
            </w: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23B" w:rsidRDefault="00DC042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Готовность и приемка скрытых работ, ответственных конструкций, испытаний и опробования оборудования, систем и устройств, приемки инженерных систем подтверждается подписанием Заказчиком и Подрядчиком соответствующих актов.</w:t>
            </w:r>
          </w:p>
          <w:p w:rsidR="0012123B" w:rsidRDefault="00DC0423">
            <w:pPr>
              <w:ind w:firstLine="0"/>
            </w:pPr>
            <w:r>
              <w:rPr>
                <w:sz w:val="24"/>
                <w:szCs w:val="24"/>
              </w:rPr>
              <w:t>В случае обнаружения в ходе работ несоответствий требованиям ГОСТ, СНиП, регламентов, техническим условиям и иным техническим нормам, которые могут привести к ухудшению качества работ, причинения ущерба имуществу сторон и третьих лиц, незамедлительно в письменной форме уведомить об этом Заказчика.</w:t>
            </w:r>
          </w:p>
          <w:p w:rsidR="0012123B" w:rsidRDefault="00DC042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необходимости производства дополнительных работ (выявленных в ходе выполнения работ) и/или увеличения объема работ, связанных с изменениями - до начала их выполнения незамедлительно письменно уведомить Заказчика о такой необходимости и представить соответствующее обоснование. Дополнительные работы, выполненные без письменного согласования с Заказчиком, оплате не подлежат.</w:t>
            </w:r>
          </w:p>
          <w:p w:rsidR="0012123B" w:rsidRDefault="00DC0423">
            <w:pPr>
              <w:ind w:firstLine="0"/>
            </w:pPr>
            <w:r>
              <w:rPr>
                <w:sz w:val="24"/>
                <w:szCs w:val="24"/>
              </w:rPr>
              <w:t xml:space="preserve">Осуществлять в ходе работ систематическую, а по завершению работ - окончательную уборку. </w:t>
            </w:r>
          </w:p>
          <w:p w:rsidR="0012123B" w:rsidRDefault="00DC0423">
            <w:pPr>
              <w:ind w:firstLine="0"/>
            </w:pPr>
            <w:r>
              <w:rPr>
                <w:sz w:val="24"/>
                <w:szCs w:val="24"/>
              </w:rPr>
              <w:t>Подрядчик обязуется в течение 3 (трех) рабочих дней с момента оказания услуг предоставить Заказчику следующие документы:</w:t>
            </w:r>
          </w:p>
          <w:p w:rsidR="0012123B" w:rsidRDefault="00DC042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акта приема – сдачи выполненных работ (при условии отсутствия - обоснованной отказ от подписания Акта).</w:t>
            </w:r>
          </w:p>
          <w:p w:rsidR="0012123B" w:rsidRDefault="00DC0423">
            <w:pPr>
              <w:ind w:left="0" w:firstLine="0"/>
            </w:pPr>
            <w:r>
              <w:rPr>
                <w:sz w:val="24"/>
                <w:szCs w:val="24"/>
              </w:rPr>
              <w:t xml:space="preserve">Оплата Заказчиком выполненных работ осуществляется путем безналичного перечисления в российских рублях на расчетный счет Подрядчика, указанный в Договоре. </w:t>
            </w:r>
          </w:p>
        </w:tc>
      </w:tr>
      <w:tr w:rsidR="0012123B">
        <w:trPr>
          <w:trHeight w:val="2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lef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23B" w:rsidRDefault="00DC0423">
            <w:pPr>
              <w:ind w:left="57" w:right="26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и этапность выполнения работ</w:t>
            </w: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23B" w:rsidRDefault="00DC042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Окончание работ - не позднее «</w:t>
            </w:r>
            <w:r w:rsidR="004631DE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» сентября 202</w:t>
            </w:r>
            <w:r w:rsidR="004631D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  <w:p w:rsidR="0012123B" w:rsidRDefault="00DC042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начала производства работ предоставить поэтапный график выполнения работ. </w:t>
            </w:r>
          </w:p>
        </w:tc>
      </w:tr>
    </w:tbl>
    <w:p w:rsidR="0012123B" w:rsidRDefault="0012123B">
      <w:pPr>
        <w:jc w:val="center"/>
      </w:pPr>
    </w:p>
    <w:p w:rsidR="0012123B" w:rsidRDefault="0012123B">
      <w:pPr>
        <w:jc w:val="center"/>
      </w:pPr>
    </w:p>
    <w:p w:rsidR="0012123B" w:rsidRDefault="00DC0423">
      <w:pPr>
        <w:jc w:val="center"/>
      </w:pPr>
      <w:r>
        <w:t xml:space="preserve">Начальник </w:t>
      </w:r>
      <w:r w:rsidR="004631DE">
        <w:t xml:space="preserve">отдела </w:t>
      </w:r>
      <w:bookmarkStart w:id="2" w:name="_GoBack"/>
      <w:bookmarkEnd w:id="2"/>
      <w:proofErr w:type="spellStart"/>
      <w:r>
        <w:t>тематизации</w:t>
      </w:r>
      <w:proofErr w:type="spellEnd"/>
      <w:r>
        <w:t xml:space="preserve">                                                          Жебелева М.Г.</w:t>
      </w:r>
    </w:p>
    <w:sectPr w:rsidR="0012123B">
      <w:pgSz w:w="11906" w:h="16838"/>
      <w:pgMar w:top="567" w:right="566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22B3E"/>
    <w:multiLevelType w:val="multilevel"/>
    <w:tmpl w:val="6B66B1EE"/>
    <w:lvl w:ilvl="0">
      <w:start w:val="1"/>
      <w:numFmt w:val="decimal"/>
      <w:lvlText w:val="%1."/>
      <w:lvlJc w:val="left"/>
      <w:pPr>
        <w:ind w:left="1117" w:hanging="360"/>
      </w:pPr>
    </w:lvl>
    <w:lvl w:ilvl="1">
      <w:start w:val="1"/>
      <w:numFmt w:val="decimal"/>
      <w:lvlText w:val="%2."/>
      <w:lvlJc w:val="left"/>
      <w:pPr>
        <w:ind w:left="357" w:firstLine="363"/>
      </w:pPr>
    </w:lvl>
    <w:lvl w:ilvl="2">
      <w:start w:val="1"/>
      <w:numFmt w:val="lowerRoman"/>
      <w:lvlText w:val="%3."/>
      <w:lvlJc w:val="right"/>
      <w:pPr>
        <w:ind w:left="2557" w:hanging="180"/>
      </w:pPr>
    </w:lvl>
    <w:lvl w:ilvl="3">
      <w:start w:val="1"/>
      <w:numFmt w:val="decimal"/>
      <w:lvlText w:val="%4."/>
      <w:lvlJc w:val="left"/>
      <w:pPr>
        <w:ind w:left="3277" w:hanging="360"/>
      </w:pPr>
    </w:lvl>
    <w:lvl w:ilvl="4">
      <w:start w:val="1"/>
      <w:numFmt w:val="lowerLetter"/>
      <w:lvlText w:val="%5."/>
      <w:lvlJc w:val="left"/>
      <w:pPr>
        <w:ind w:left="3997" w:hanging="360"/>
      </w:pPr>
    </w:lvl>
    <w:lvl w:ilvl="5">
      <w:start w:val="1"/>
      <w:numFmt w:val="lowerRoman"/>
      <w:lvlText w:val="%6."/>
      <w:lvlJc w:val="right"/>
      <w:pPr>
        <w:ind w:left="4717" w:hanging="180"/>
      </w:pPr>
    </w:lvl>
    <w:lvl w:ilvl="6">
      <w:start w:val="1"/>
      <w:numFmt w:val="decimal"/>
      <w:lvlText w:val="%7."/>
      <w:lvlJc w:val="left"/>
      <w:pPr>
        <w:ind w:left="5437" w:hanging="360"/>
      </w:pPr>
    </w:lvl>
    <w:lvl w:ilvl="7">
      <w:start w:val="1"/>
      <w:numFmt w:val="lowerLetter"/>
      <w:lvlText w:val="%8."/>
      <w:lvlJc w:val="left"/>
      <w:pPr>
        <w:ind w:left="6157" w:hanging="360"/>
      </w:pPr>
    </w:lvl>
    <w:lvl w:ilvl="8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29073608"/>
    <w:multiLevelType w:val="multilevel"/>
    <w:tmpl w:val="0792B022"/>
    <w:lvl w:ilvl="0">
      <w:start w:val="1"/>
      <w:numFmt w:val="decimal"/>
      <w:lvlText w:val="%1."/>
      <w:lvlJc w:val="left"/>
      <w:pPr>
        <w:ind w:left="701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108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7D06DDF"/>
    <w:multiLevelType w:val="multilevel"/>
    <w:tmpl w:val="B944E3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57" w:firstLine="363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858A3"/>
    <w:multiLevelType w:val="multilevel"/>
    <w:tmpl w:val="412E0C8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23B"/>
    <w:rsid w:val="0012123B"/>
    <w:rsid w:val="004631DE"/>
    <w:rsid w:val="00DC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3ED59"/>
  <w15:docId w15:val="{F152B095-344D-49E6-8827-AB2CC53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ind w:left="113" w:firstLine="28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Cs w:val="20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character" w:customStyle="1" w:styleId="WW8Num1z0">
    <w:name w:val="WW8Num1z0"/>
    <w:qFormat/>
    <w:rPr>
      <w:sz w:val="24"/>
      <w:szCs w:val="24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sz w:val="24"/>
      <w:szCs w:val="24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cs="Times New Roman"/>
    </w:rPr>
  </w:style>
  <w:style w:type="character" w:customStyle="1" w:styleId="WW8Num9z0">
    <w:name w:val="WW8Num9z0"/>
    <w:qFormat/>
    <w:rPr>
      <w:sz w:val="24"/>
      <w:szCs w:val="24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sz w:val="24"/>
      <w:szCs w:val="24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eastAsia="Times New Roman"/>
      <w:sz w:val="24"/>
      <w:szCs w:val="24"/>
      <w:lang w:eastAsia="ru-RU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a5">
    <w:name w:val="Текст Знак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Пункт Знак1"/>
    <w:qFormat/>
    <w:rPr>
      <w:sz w:val="28"/>
      <w:szCs w:val="28"/>
    </w:rPr>
  </w:style>
  <w:style w:type="character" w:customStyle="1" w:styleId="a6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styleId="a7">
    <w:name w:val="annotation reference"/>
    <w:qFormat/>
    <w:rPr>
      <w:sz w:val="16"/>
      <w:szCs w:val="16"/>
    </w:rPr>
  </w:style>
  <w:style w:type="character" w:customStyle="1" w:styleId="a8">
    <w:name w:val="Текст примечания Знак"/>
    <w:qFormat/>
    <w:rPr>
      <w:rFonts w:ascii="Times New Roman" w:eastAsia="Times New Roman" w:hAnsi="Times New Roman" w:cs="Times New Roman"/>
    </w:rPr>
  </w:style>
  <w:style w:type="character" w:customStyle="1" w:styleId="a9">
    <w:name w:val="Тема примечания Знак"/>
    <w:qFormat/>
    <w:rPr>
      <w:rFonts w:ascii="Times New Roman" w:eastAsia="Times New Roman" w:hAnsi="Times New Roman" w:cs="Times New Roman"/>
      <w:b/>
      <w:bCs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rFonts w:eastAsia="Times New Roman"/>
      <w:sz w:val="24"/>
      <w:szCs w:val="24"/>
      <w:lang w:eastAsia="ru-RU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rFonts w:eastAsia="Times New Roman"/>
      <w:sz w:val="24"/>
      <w:szCs w:val="24"/>
      <w:lang w:eastAsia="ru-RU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rFonts w:eastAsia="Times New Roman"/>
      <w:sz w:val="24"/>
      <w:szCs w:val="24"/>
      <w:lang w:eastAsia="ru-RU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rFonts w:eastAsia="Times New Roman"/>
      <w:sz w:val="24"/>
      <w:szCs w:val="24"/>
      <w:lang w:eastAsia="ru-RU"/>
    </w:rPr>
  </w:style>
  <w:style w:type="character" w:customStyle="1" w:styleId="ListLabel21">
    <w:name w:val="ListLabel 21"/>
    <w:qFormat/>
    <w:rPr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rFonts w:eastAsia="Times New Roman"/>
      <w:sz w:val="24"/>
      <w:szCs w:val="24"/>
      <w:lang w:eastAsia="ru-RU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eastAsia="Times New Roman"/>
      <w:sz w:val="24"/>
      <w:szCs w:val="24"/>
      <w:lang w:eastAsia="ru-RU"/>
    </w:rPr>
  </w:style>
  <w:style w:type="paragraph" w:styleId="a4">
    <w:name w:val="Body Text"/>
    <w:basedOn w:val="a"/>
    <w:pPr>
      <w:spacing w:after="140" w:line="276" w:lineRule="auto"/>
    </w:pPr>
  </w:style>
  <w:style w:type="paragraph" w:styleId="aa">
    <w:name w:val="List"/>
    <w:basedOn w:val="a4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customStyle="1" w:styleId="22">
    <w:name w:val="Заголовок 2.Заголовок 2 Знак"/>
    <w:basedOn w:val="a"/>
    <w:next w:val="a"/>
    <w:qFormat/>
    <w:pPr>
      <w:keepNext/>
      <w:ind w:right="-383"/>
      <w:jc w:val="center"/>
      <w:outlineLvl w:val="1"/>
    </w:pPr>
    <w:rPr>
      <w:sz w:val="24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styleId="ae">
    <w:name w:val="Plain Text"/>
    <w:basedOn w:val="a"/>
    <w:qFormat/>
    <w:rPr>
      <w:rFonts w:ascii="Courier New" w:hAnsi="Courier New" w:cs="Courier New"/>
      <w:sz w:val="20"/>
    </w:rPr>
  </w:style>
  <w:style w:type="paragraph" w:customStyle="1" w:styleId="af">
    <w:name w:val="Пункт"/>
    <w:basedOn w:val="a"/>
    <w:qFormat/>
    <w:pPr>
      <w:spacing w:line="360" w:lineRule="auto"/>
      <w:ind w:left="1134" w:hanging="1134"/>
      <w:jc w:val="both"/>
    </w:pPr>
    <w:rPr>
      <w:rFonts w:ascii="Calibri" w:eastAsia="Calibri" w:hAnsi="Calibri"/>
      <w:szCs w:val="28"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1">
    <w:name w:val="No Spacing"/>
    <w:qFormat/>
    <w:pPr>
      <w:jc w:val="both"/>
    </w:pPr>
    <w:rPr>
      <w:rFonts w:eastAsia="Calibri"/>
      <w:sz w:val="26"/>
      <w:szCs w:val="26"/>
    </w:rPr>
  </w:style>
  <w:style w:type="paragraph" w:styleId="af2">
    <w:name w:val="annotation text"/>
    <w:basedOn w:val="a"/>
    <w:qFormat/>
    <w:rPr>
      <w:sz w:val="20"/>
    </w:rPr>
  </w:style>
  <w:style w:type="paragraph" w:styleId="af3">
    <w:name w:val="annotation subject"/>
    <w:basedOn w:val="af2"/>
    <w:next w:val="af2"/>
    <w:qFormat/>
    <w:rPr>
      <w:b/>
      <w:bCs/>
    </w:rPr>
  </w:style>
  <w:style w:type="paragraph" w:customStyle="1" w:styleId="af4">
    <w:name w:val="Содержимое таблицы"/>
    <w:basedOn w:val="a"/>
    <w:qFormat/>
    <w:pPr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paragraph" w:styleId="af6">
    <w:name w:val="footer"/>
    <w:basedOn w:val="a"/>
    <w:pPr>
      <w:suppressLineNumbers/>
      <w:tabs>
        <w:tab w:val="center" w:pos="5103"/>
        <w:tab w:val="right" w:pos="10206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paragraph" w:styleId="af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lYGJ0Xc4JcfSg0C3avF/1md1/Q==">CgMxLjAyCGguZ2pkZ3hzMgloLjMwajB6bGw4AHIhMTB2d0dvTC1SUTJpenRLZVZmZVB4RlZfVWt2XzFBYjJt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Пресняков Олег Евгеньевич</dc:creator>
  <cp:lastModifiedBy>Розанова Алина Владимировна</cp:lastModifiedBy>
  <cp:revision>3</cp:revision>
  <dcterms:created xsi:type="dcterms:W3CDTF">2024-06-07T10:11:00Z</dcterms:created>
  <dcterms:modified xsi:type="dcterms:W3CDTF">2024-06-11T09:27:00Z</dcterms:modified>
</cp:coreProperties>
</file>