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BA116E"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BA116E" w:rsidRPr="00BA116E" w:rsidRDefault="00260BFF" w:rsidP="00260BFF">
            <w:pPr>
              <w:shd w:val="clear" w:color="auto" w:fill="FFFFFF"/>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w:t>
            </w:r>
            <w:r w:rsidR="00BA116E">
              <w:rPr>
                <w:rFonts w:ascii="Times New Roman" w:eastAsia="Times New Roman" w:hAnsi="Times New Roman" w:cs="Times New Roman"/>
                <w:sz w:val="24"/>
                <w:szCs w:val="24"/>
              </w:rPr>
              <w:t>1</w:t>
            </w:r>
            <w:r w:rsidR="00C0420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BA116E">
              <w:rPr>
                <w:rFonts w:ascii="Times New Roman" w:eastAsia="Times New Roman" w:hAnsi="Times New Roman" w:cs="Times New Roman"/>
                <w:sz w:val="24"/>
                <w:szCs w:val="24"/>
              </w:rPr>
              <w:t>613-46-59</w:t>
            </w:r>
            <w:r w:rsidR="00773F88">
              <w:rPr>
                <w:rFonts w:ascii="Times New Roman" w:eastAsia="Times New Roman" w:hAnsi="Times New Roman" w:cs="Times New Roman"/>
                <w:sz w:val="24"/>
                <w:szCs w:val="24"/>
              </w:rPr>
              <w:t xml:space="preserve">, </w:t>
            </w:r>
            <w:r w:rsidR="00BA116E" w:rsidRPr="00BA116E">
              <w:rPr>
                <w:rFonts w:ascii="Times New Roman" w:eastAsia="Times New Roman" w:hAnsi="Times New Roman" w:cs="Times New Roman"/>
                <w:sz w:val="24"/>
                <w:szCs w:val="24"/>
              </w:rPr>
              <w:t xml:space="preserve">Столяренко Юлия Олеговна </w:t>
            </w:r>
            <w:hyperlink r:id="rId7" w:history="1">
              <w:r w:rsidR="00BA116E" w:rsidRPr="001938B6">
                <w:rPr>
                  <w:rStyle w:val="a4"/>
                  <w:rFonts w:ascii="Times New Roman" w:eastAsia="Times New Roman" w:hAnsi="Times New Roman" w:cs="Times New Roman"/>
                  <w:sz w:val="24"/>
                  <w:szCs w:val="24"/>
                  <w:lang w:val="en-US"/>
                </w:rPr>
                <w:t>u</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stolyarenko</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sochi</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park</w:t>
              </w:r>
              <w:r w:rsidR="00BA116E" w:rsidRPr="00BA116E">
                <w:rPr>
                  <w:rStyle w:val="a4"/>
                  <w:rFonts w:ascii="Times New Roman" w:eastAsia="Times New Roman" w:hAnsi="Times New Roman" w:cs="Times New Roman"/>
                  <w:sz w:val="24"/>
                  <w:szCs w:val="24"/>
                </w:rPr>
                <w:t>.</w:t>
              </w:r>
              <w:proofErr w:type="spellStart"/>
              <w:r w:rsidR="00BA116E" w:rsidRPr="001938B6">
                <w:rPr>
                  <w:rStyle w:val="a4"/>
                  <w:rFonts w:ascii="Times New Roman" w:eastAsia="Times New Roman" w:hAnsi="Times New Roman" w:cs="Times New Roman"/>
                  <w:sz w:val="24"/>
                  <w:szCs w:val="24"/>
                  <w:lang w:val="en-US"/>
                </w:rPr>
                <w:t>ru</w:t>
              </w:r>
              <w:proofErr w:type="spellEnd"/>
            </w:hyperlink>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BA116E" w:rsidP="009E1D37">
            <w:pPr>
              <w:ind w:firstLine="62"/>
              <w:rPr>
                <w:rFonts w:ascii="Times New Roman" w:hAnsi="Times New Roman"/>
                <w:b/>
                <w:color w:val="FF0000"/>
                <w:sz w:val="24"/>
                <w:szCs w:val="24"/>
              </w:rPr>
            </w:pPr>
            <w:r w:rsidRPr="00BA116E">
              <w:rPr>
                <w:rFonts w:ascii="Times New Roman" w:eastAsia="Times New Roman" w:hAnsi="Times New Roman" w:cs="Times New Roman"/>
                <w:b/>
                <w:sz w:val="24"/>
                <w:szCs w:val="24"/>
              </w:rPr>
              <w:t xml:space="preserve">ЛОТ 692-24 </w:t>
            </w:r>
            <w:proofErr w:type="gramStart"/>
            <w:r w:rsidRPr="00BA116E">
              <w:rPr>
                <w:rFonts w:ascii="Times New Roman" w:eastAsia="Times New Roman" w:hAnsi="Times New Roman" w:cs="Times New Roman"/>
                <w:b/>
                <w:sz w:val="24"/>
                <w:szCs w:val="24"/>
              </w:rPr>
              <w:t>[ СП</w:t>
            </w:r>
            <w:proofErr w:type="gramEnd"/>
            <w:r w:rsidRPr="00BA116E">
              <w:rPr>
                <w:rFonts w:ascii="Times New Roman" w:eastAsia="Times New Roman" w:hAnsi="Times New Roman" w:cs="Times New Roman"/>
                <w:b/>
                <w:sz w:val="24"/>
                <w:szCs w:val="24"/>
              </w:rPr>
              <w:t>-20] (</w:t>
            </w:r>
            <w:proofErr w:type="spellStart"/>
            <w:r w:rsidRPr="00BA116E">
              <w:rPr>
                <w:rFonts w:ascii="Times New Roman" w:eastAsia="Times New Roman" w:hAnsi="Times New Roman" w:cs="Times New Roman"/>
                <w:b/>
                <w:sz w:val="24"/>
                <w:szCs w:val="24"/>
              </w:rPr>
              <w:t>Редукцион</w:t>
            </w:r>
            <w:proofErr w:type="spellEnd"/>
            <w:r w:rsidRPr="00BA116E">
              <w:rPr>
                <w:rFonts w:ascii="Times New Roman" w:eastAsia="Times New Roman" w:hAnsi="Times New Roman" w:cs="Times New Roman"/>
                <w:b/>
                <w:sz w:val="24"/>
                <w:szCs w:val="24"/>
              </w:rPr>
              <w:t>) Поставка и монтаж оборудования системы кондиционирования в складское помещение</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BA116E" w:rsidRPr="00BA116E">
              <w:rPr>
                <w:rFonts w:ascii="Times New Roman" w:hAnsi="Times New Roman"/>
                <w:b/>
                <w:sz w:val="24"/>
                <w:szCs w:val="24"/>
              </w:rPr>
              <w:t xml:space="preserve">2 516 320,00 (два миллиона пятьсот шестнадцать </w:t>
            </w:r>
            <w:r w:rsidR="00BA116E" w:rsidRPr="00BA116E">
              <w:rPr>
                <w:rFonts w:ascii="Times New Roman" w:hAnsi="Times New Roman"/>
                <w:b/>
                <w:sz w:val="24"/>
                <w:szCs w:val="24"/>
              </w:rPr>
              <w:lastRenderedPageBreak/>
              <w:t>тысяч триста двадцать) рублей 00 копеек, в том числе НДС 20%</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8"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6D4420">
              <w:rPr>
                <w:rFonts w:ascii="Times New Roman" w:hAnsi="Times New Roman"/>
                <w:b/>
                <w:color w:val="FF0000"/>
                <w:sz w:val="24"/>
                <w:szCs w:val="24"/>
              </w:rPr>
              <w:t>0</w:t>
            </w:r>
            <w:r w:rsidR="00BA116E">
              <w:rPr>
                <w:rFonts w:ascii="Times New Roman" w:hAnsi="Times New Roman"/>
                <w:b/>
                <w:color w:val="FF0000"/>
                <w:sz w:val="24"/>
                <w:szCs w:val="24"/>
              </w:rPr>
              <w:t>4</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6D4420">
              <w:rPr>
                <w:rFonts w:ascii="Times New Roman" w:hAnsi="Times New Roman"/>
                <w:b/>
                <w:color w:val="FF0000"/>
                <w:sz w:val="24"/>
                <w:szCs w:val="24"/>
              </w:rPr>
              <w:t>октября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1A3D7C">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BA116E">
              <w:rPr>
                <w:rFonts w:ascii="Times New Roman" w:hAnsi="Times New Roman"/>
                <w:b/>
                <w:sz w:val="24"/>
                <w:szCs w:val="24"/>
              </w:rPr>
              <w:t>4</w:t>
            </w:r>
            <w:r w:rsidRPr="003373DF">
              <w:rPr>
                <w:rFonts w:ascii="Times New Roman" w:hAnsi="Times New Roman"/>
                <w:b/>
                <w:sz w:val="24"/>
                <w:szCs w:val="24"/>
              </w:rPr>
              <w:t xml:space="preserve">» </w:t>
            </w:r>
            <w:r w:rsidR="006D4420">
              <w:rPr>
                <w:rFonts w:ascii="Times New Roman" w:hAnsi="Times New Roman"/>
                <w:b/>
                <w:sz w:val="24"/>
                <w:szCs w:val="24"/>
              </w:rPr>
              <w:t>октября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BA116E">
              <w:rPr>
                <w:rFonts w:ascii="Times New Roman" w:hAnsi="Times New Roman"/>
                <w:b/>
                <w:sz w:val="24"/>
                <w:szCs w:val="24"/>
              </w:rPr>
              <w:t>9</w:t>
            </w:r>
            <w:r w:rsidRPr="003373DF">
              <w:rPr>
                <w:rFonts w:ascii="Times New Roman" w:hAnsi="Times New Roman"/>
                <w:b/>
                <w:sz w:val="24"/>
                <w:szCs w:val="24"/>
              </w:rPr>
              <w:t xml:space="preserve">» </w:t>
            </w:r>
            <w:r w:rsidR="006D4420">
              <w:rPr>
                <w:rFonts w:ascii="Times New Roman" w:hAnsi="Times New Roman"/>
                <w:b/>
                <w:sz w:val="24"/>
                <w:szCs w:val="24"/>
              </w:rPr>
              <w:t>октября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bookmarkStart w:id="0" w:name="_GoBack"/>
            <w:bookmarkEnd w:id="0"/>
            <w:r w:rsidR="00BA116E">
              <w:rPr>
                <w:rFonts w:ascii="Times New Roman" w:hAnsi="Times New Roman"/>
                <w:b/>
                <w:sz w:val="24"/>
                <w:szCs w:val="24"/>
              </w:rPr>
              <w:t>12</w:t>
            </w:r>
            <w:r w:rsidRPr="000B3DA5">
              <w:rPr>
                <w:rFonts w:ascii="Times New Roman" w:hAnsi="Times New Roman"/>
                <w:b/>
                <w:sz w:val="24"/>
                <w:szCs w:val="24"/>
              </w:rPr>
              <w:t xml:space="preserve">» </w:t>
            </w:r>
            <w:r w:rsidR="006D4420">
              <w:rPr>
                <w:rFonts w:ascii="Times New Roman" w:hAnsi="Times New Roman"/>
                <w:b/>
                <w:sz w:val="24"/>
                <w:szCs w:val="24"/>
              </w:rPr>
              <w:t>октября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464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2400"/>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15723"/>
    <w:rsid w:val="006212E5"/>
    <w:rsid w:val="00627163"/>
    <w:rsid w:val="00651D57"/>
    <w:rsid w:val="006655F0"/>
    <w:rsid w:val="00681FE1"/>
    <w:rsid w:val="00690AD8"/>
    <w:rsid w:val="006C3B87"/>
    <w:rsid w:val="006C4EBB"/>
    <w:rsid w:val="006D1CA8"/>
    <w:rsid w:val="006D4420"/>
    <w:rsid w:val="006F1B06"/>
    <w:rsid w:val="006F3FF7"/>
    <w:rsid w:val="006F4435"/>
    <w:rsid w:val="007311BC"/>
    <w:rsid w:val="007528E9"/>
    <w:rsid w:val="00773F88"/>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A116E"/>
    <w:rsid w:val="00BB090A"/>
    <w:rsid w:val="00BB3A8E"/>
    <w:rsid w:val="00BB6F12"/>
    <w:rsid w:val="00BE07C1"/>
    <w:rsid w:val="00C04201"/>
    <w:rsid w:val="00C239EB"/>
    <w:rsid w:val="00C25147"/>
    <w:rsid w:val="00C321A0"/>
    <w:rsid w:val="00C360E6"/>
    <w:rsid w:val="00C4489D"/>
    <w:rsid w:val="00C62DF3"/>
    <w:rsid w:val="00C658F3"/>
    <w:rsid w:val="00C6750B"/>
    <w:rsid w:val="00C871E9"/>
    <w:rsid w:val="00C97576"/>
    <w:rsid w:val="00CB3B63"/>
    <w:rsid w:val="00D033AF"/>
    <w:rsid w:val="00D07796"/>
    <w:rsid w:val="00D15645"/>
    <w:rsid w:val="00D22821"/>
    <w:rsid w:val="00D26055"/>
    <w:rsid w:val="00D363D9"/>
    <w:rsid w:val="00D52BE9"/>
    <w:rsid w:val="00D7550B"/>
    <w:rsid w:val="00D94F5A"/>
    <w:rsid w:val="00DA70A2"/>
    <w:rsid w:val="00DB25DE"/>
    <w:rsid w:val="00DB798F"/>
    <w:rsid w:val="00DC50A8"/>
    <w:rsid w:val="00DF31AA"/>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D256C"/>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249A"/>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tera-purchases.ru/" TargetMode="External"/><Relationship Id="rId3" Type="http://schemas.openxmlformats.org/officeDocument/2006/relationships/styles" Target="styles.xml"/><Relationship Id="rId7" Type="http://schemas.openxmlformats.org/officeDocument/2006/relationships/hyperlink" Target="mailto:u.stolyarenko@sochi-par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0A3CB-8FDA-4958-8350-9CD5D27D0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7</Pages>
  <Words>2341</Words>
  <Characters>13349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51</cp:revision>
  <cp:lastPrinted>2024-05-16T06:28:00Z</cp:lastPrinted>
  <dcterms:created xsi:type="dcterms:W3CDTF">2023-10-27T09:08:00Z</dcterms:created>
  <dcterms:modified xsi:type="dcterms:W3CDTF">2024-09-27T07:48:00Z</dcterms:modified>
</cp:coreProperties>
</file>